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C02C0">
      <w:pPr>
        <w:widowControl/>
        <w:overflowPunct/>
        <w:bidi w:val="0"/>
        <w:adjustRightInd/>
        <w:snapToGrid/>
        <w:spacing w:after="160" w:line="278" w:lineRule="auto"/>
        <w:ind w:firstLine="0" w:firstLineChars="0"/>
        <w:jc w:val="left"/>
        <w:rPr>
          <w:rFonts w:ascii="Times New Roman" w:hAnsi="Times New Roman" w:eastAsia="方正黑体_GBK" w:cs="Times New Roman"/>
          <w:sz w:val="22"/>
          <w:szCs w:val="24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附件1</w:t>
      </w:r>
    </w:p>
    <w:p w14:paraId="285B207B">
      <w:pPr>
        <w:overflowPunct/>
        <w:bidi w:val="0"/>
        <w:adjustRightInd/>
        <w:snapToGrid w:val="0"/>
        <w:spacing w:after="160" w:line="278" w:lineRule="auto"/>
        <w:ind w:firstLine="0" w:firstLineChars="0"/>
        <w:jc w:val="center"/>
        <w:rPr>
          <w:rFonts w:ascii="Times New Roman" w:hAnsi="Times New Roman" w:eastAsia="方正小标宋_GBK" w:cs="Times New Roman"/>
          <w:color w:val="auto"/>
          <w:sz w:val="32"/>
          <w:szCs w:val="32"/>
        </w:rPr>
      </w:pPr>
      <w:bookmarkStart w:id="0" w:name="_GoBack"/>
      <w:r>
        <w:rPr>
          <w:rFonts w:hint="eastAsia" w:ascii="Times New Roman" w:hAnsi="Times New Roman" w:eastAsia="方正小标宋_GBK" w:cs="Times New Roman"/>
          <w:color w:val="auto"/>
          <w:sz w:val="32"/>
          <w:szCs w:val="32"/>
        </w:rPr>
        <w:t>“杞麓湖</w:t>
      </w:r>
      <w:r>
        <w:rPr>
          <w:rFonts w:hint="eastAsia" w:ascii="Times New Roman" w:hAnsi="Times New Roman" w:eastAsia="方正小标宋_GBK" w:cs="Times New Roman"/>
          <w:color w:val="auto"/>
          <w:sz w:val="32"/>
          <w:szCs w:val="32"/>
          <w:lang w:val="en-US" w:eastAsia="zh-CN"/>
        </w:rPr>
        <w:t>流域污染控制与</w:t>
      </w:r>
      <w:r>
        <w:rPr>
          <w:rFonts w:hint="eastAsia" w:ascii="Times New Roman" w:hAnsi="Times New Roman" w:eastAsia="方正小标宋_GBK" w:cs="Times New Roman"/>
          <w:color w:val="auto"/>
          <w:sz w:val="32"/>
          <w:szCs w:val="32"/>
        </w:rPr>
        <w:t>有机质去除关键技术研究及应用示范”</w:t>
      </w:r>
      <w:r>
        <w:rPr>
          <w:rFonts w:ascii="Times New Roman" w:hAnsi="Times New Roman" w:eastAsia="方正小标宋_GBK" w:cs="Times New Roman"/>
          <w:color w:val="auto"/>
          <w:sz w:val="32"/>
          <w:szCs w:val="32"/>
        </w:rPr>
        <w:t>揭榜制项目需求表</w:t>
      </w:r>
    </w:p>
    <w:bookmarkEnd w:id="0"/>
    <w:tbl>
      <w:tblPr>
        <w:tblStyle w:val="4"/>
        <w:tblW w:w="8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641"/>
        <w:gridCol w:w="796"/>
        <w:gridCol w:w="2388"/>
        <w:gridCol w:w="796"/>
        <w:gridCol w:w="272"/>
        <w:gridCol w:w="2129"/>
      </w:tblGrid>
      <w:tr w14:paraId="50094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F20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所属产业领域</w:t>
            </w:r>
          </w:p>
          <w:p w14:paraId="271343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或产业链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B6F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生态环保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3BD27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kern w:val="0"/>
                <w:sz w:val="20"/>
                <w:szCs w:val="20"/>
              </w:rPr>
              <w:t>细分</w:t>
            </w:r>
          </w:p>
          <w:p w14:paraId="4B93A7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kern w:val="0"/>
                <w:sz w:val="20"/>
                <w:szCs w:val="20"/>
              </w:rPr>
              <w:t>方向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7DC3C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高原湖泊保护保护与污染治理关键技术</w:t>
            </w:r>
          </w:p>
        </w:tc>
      </w:tr>
      <w:tr w14:paraId="5E8F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F3E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3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4D1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杞麓湖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val="en-US" w:eastAsia="zh-CN"/>
              </w:rPr>
              <w:t>流域污染控制与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有机质去除关键技术研究及应用示范</w:t>
            </w:r>
          </w:p>
        </w:tc>
      </w:tr>
      <w:tr w14:paraId="4E353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BBE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发榜单位名称</w:t>
            </w:r>
          </w:p>
        </w:tc>
        <w:tc>
          <w:tcPr>
            <w:tcW w:w="63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E90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玉溪市湖泊管理局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通海县杞麓湖管理局</w:t>
            </w:r>
          </w:p>
        </w:tc>
      </w:tr>
      <w:tr w14:paraId="3A77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1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49B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发榜单位联系人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484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姓名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182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尹骄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844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职务</w:t>
            </w:r>
          </w:p>
        </w:tc>
        <w:tc>
          <w:tcPr>
            <w:tcW w:w="2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5EC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等线" w:cs="Times New Roman"/>
                <w:color w:val="auto"/>
                <w:sz w:val="22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主任</w:t>
            </w:r>
          </w:p>
        </w:tc>
      </w:tr>
      <w:tr w14:paraId="1EE32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1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663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DCC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509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18108776651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B43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邮箱</w:t>
            </w:r>
          </w:p>
        </w:tc>
        <w:tc>
          <w:tcPr>
            <w:tcW w:w="2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ED5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437077473@qq.com</w:t>
            </w:r>
          </w:p>
        </w:tc>
      </w:tr>
      <w:tr w14:paraId="7D33C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7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46C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项目需求的</w:t>
            </w:r>
          </w:p>
          <w:p w14:paraId="6E4112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背景与意义</w:t>
            </w:r>
          </w:p>
        </w:tc>
        <w:tc>
          <w:tcPr>
            <w:tcW w:w="70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4B2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auto"/>
              <w:ind w:right="158" w:rightChars="50" w:firstLine="432" w:firstLineChars="200"/>
              <w:jc w:val="both"/>
              <w:textAlignment w:val="auto"/>
              <w:rPr>
                <w:rFonts w:hint="eastAsia" w:ascii="Calibri" w:hAnsi="Calibri" w:eastAsia="宋体" w:cs="Times New Roman"/>
                <w:color w:val="auto"/>
                <w:sz w:val="22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杞麓湖是云南省重点高原湖泊中两个未实现水质脱劣的湖泊之一，湖泊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半封闭性特征导致营养盐、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有机质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不断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累积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藻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类大量爆发，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两次被中央环境保护督察列为典型案例通报，为实现杞麓湖脱劣目标，云南省成立了杞麓湖异龙湖水质脱劣攻坚工作专班，印发了《杞麓湖脱劣攻坚重点措施清单》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、《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2025年杞麓湖水质脱劣攻坚行动方案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》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，玉溪市成立了杞麓湖水质脱劣攻坚工作专班，全力推进杞麓湖脱劣工作。目前导致杞麓湖水质超标的污染源构成尚不明确；杞麓湖有机污染严重，藻源性有机质的针对性去除技术亟需开发；流域水资源分配不均，旱季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拦蓄带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污染物累积严重，雨季面临冲击性负荷入湖风险；实现杞麓湖水质脱劣、稳定向好的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关键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技术亟需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突破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。</w:t>
            </w:r>
          </w:p>
        </w:tc>
      </w:tr>
      <w:tr w14:paraId="7D47B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8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6A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技术难题</w:t>
            </w:r>
          </w:p>
        </w:tc>
        <w:tc>
          <w:tcPr>
            <w:tcW w:w="70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B83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auto"/>
              <w:ind w:right="158" w:rightChars="50" w:firstLine="432" w:firstLineChars="20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针对杞麓湖水量水质的双重约束条件，亟需探究改善高原浅水湖泊水动力、消除冲击性负荷风险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、高效去除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污染物等实现脱劣的技术手段。具体包括以下三方面技术难题：</w:t>
            </w:r>
          </w:p>
          <w:p w14:paraId="1ADB13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auto"/>
              <w:ind w:right="158" w:rightChars="50" w:firstLine="432" w:firstLineChars="20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1.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杞麓湖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富藻水如何高效净化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藻源性有机质在杞麓湖非常突出，且长期湖泊封闭运行，加剧了超标风险，亟需开发高效的藻源性有机质的高效去除技术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。</w:t>
            </w:r>
          </w:p>
          <w:p w14:paraId="46DFB4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auto"/>
              <w:ind w:right="158" w:rightChars="50" w:firstLine="432" w:firstLineChars="20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2.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拦蓄带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末端污染物蓄积风险如何消除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杞麓湖流域农业生产强度大，大量农田尾水汇入末端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拦蓄带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，导致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污染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问题长期存在，亟需探索陆域末端高效减排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和净化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方案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。</w:t>
            </w:r>
          </w:p>
          <w:p w14:paraId="60F28C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auto"/>
              <w:ind w:right="158" w:rightChars="50" w:firstLine="432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22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3.雨季初期冲击性负荷如何快速响应处置：在雨季杞麓湖河道沟渠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冲击性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入湖负荷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短时集中入湖风险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较大，目前缺乏针对冲击性负荷进行快速响应处置的高效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净化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措施。</w:t>
            </w:r>
          </w:p>
        </w:tc>
      </w:tr>
      <w:tr w14:paraId="2DDE2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1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4AD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研究内容</w:t>
            </w:r>
          </w:p>
        </w:tc>
        <w:tc>
          <w:tcPr>
            <w:tcW w:w="70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9D3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auto"/>
              <w:ind w:right="158" w:rightChars="50" w:firstLine="432" w:firstLineChars="20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1.杞麓湖富藻水处理技术研究及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工程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示范：针对杞麓湖有机质组分和碳周转特征，开发湖泊有机质高效去除技术，显著削减COD、TOC、TP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NH3-N、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叶绿素a、藻细胞等关键指标，并结合相关示范工程实现控藻、降碳、改善湖泊水动力的目标。</w:t>
            </w:r>
          </w:p>
          <w:p w14:paraId="040CEF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auto"/>
              <w:ind w:right="158" w:rightChars="50" w:firstLine="432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.杞麓湖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拦蓄带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尾水高效处理技术研究及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工程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示范：针对杞麓湖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拦蓄带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水体与农田尾水循环往复交换的污染特点，开发高浊度尾水的高效处理技术，显著削减COD、TOC、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NH3-N、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TP、SS等指标，并结合示范工程实现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拦蓄带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清水入湖的目标。</w:t>
            </w:r>
          </w:p>
          <w:p w14:paraId="242F68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auto"/>
              <w:ind w:right="158" w:rightChars="50" w:firstLine="432" w:firstLineChars="200"/>
              <w:jc w:val="both"/>
              <w:textAlignment w:val="auto"/>
              <w:rPr>
                <w:rFonts w:hint="eastAsia" w:ascii="Calibri" w:hAnsi="Calibri" w:eastAsia="宋体" w:cs="Times New Roman"/>
                <w:color w:val="auto"/>
                <w:sz w:val="22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.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流域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冲击性负荷快速处置技术研究及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工程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示范：针对杞麓湖流域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次降雨特征和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冲击性负荷规律和特点，开发冲击性负荷快速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净化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处置技术，显著削减COD、TOC、TP、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NH3-N、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SS等指标，并结合示范工程实现入湖河流小流域冲击性负荷快速处理。</w:t>
            </w:r>
          </w:p>
        </w:tc>
      </w:tr>
      <w:tr w14:paraId="25630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0A6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预期技术目标</w:t>
            </w:r>
          </w:p>
        </w:tc>
        <w:tc>
          <w:tcPr>
            <w:tcW w:w="70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81F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auto"/>
              <w:ind w:firstLine="432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在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杞麓湖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沿岸河道冲击性负荷较高、拦蓄带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污染物累积严重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、藻类富集情况突出的典型区域开展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试点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和工程示范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：①实现湖区富藻水年处理2000万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方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以上，年削减COD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 xml:space="preserve"> &gt;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 xml:space="preserve"> 200吨，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pH值 6-9，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COD、TOC、TP、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NH3-N、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叶绿素a、藻细胞等关键指标去除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率均超过30%且出水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水质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稳定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达到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地表水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IV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类及以上标准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（TN除外），每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方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水处理运行成本&lt;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0.8元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；②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示范工程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实现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对汇流范围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冲击性负荷和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拦蓄带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雨季期间50%以上污染物的净化处理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，COD、TOC、TP、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NH3-N、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SS等指标去除率均超过5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0%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出水水质稳定达到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地表水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IV类及以上标准（TN除外），每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方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水处理运行成本&lt;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0.8元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</w:rPr>
              <w:t>。</w:t>
            </w:r>
          </w:p>
        </w:tc>
      </w:tr>
      <w:tr w14:paraId="7DE0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20C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预期经济</w:t>
            </w:r>
          </w:p>
          <w:p w14:paraId="13BD29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70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524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auto"/>
              <w:ind w:firstLine="432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形成适用于当前杞麓湖水质脱劣的低成本、可复制、可推广的关键技术，并开展工程示范，降低湖区有机质赋存量，消除雨季冲击性负荷对湖泊水质影响，每年实现不少于2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000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万方清水资源回补杞麓湖，对全湖水质水生态好转起到积极效果。</w:t>
            </w:r>
          </w:p>
        </w:tc>
      </w:tr>
      <w:tr w14:paraId="03755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4A3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时限要求</w:t>
            </w:r>
          </w:p>
        </w:tc>
        <w:tc>
          <w:tcPr>
            <w:tcW w:w="70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25296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32" w:firstLineChars="20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完成时限3年。</w:t>
            </w:r>
          </w:p>
        </w:tc>
      </w:tr>
      <w:tr w14:paraId="55A34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C00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发榜单位</w:t>
            </w:r>
          </w:p>
          <w:p w14:paraId="015F13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出资承诺</w:t>
            </w:r>
          </w:p>
        </w:tc>
        <w:tc>
          <w:tcPr>
            <w:tcW w:w="70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D6C24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32" w:firstLineChars="200"/>
              <w:jc w:val="both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/>
              </w:rPr>
              <w:t>承诺实施相应配套工程1000万元</w:t>
            </w:r>
          </w:p>
        </w:tc>
      </w:tr>
      <w:tr w14:paraId="6DFE1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D8F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0"/>
                <w:szCs w:val="20"/>
              </w:rPr>
              <w:t>产权归属</w:t>
            </w:r>
          </w:p>
        </w:tc>
        <w:tc>
          <w:tcPr>
            <w:tcW w:w="70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FC08C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firstLine="432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2"/>
                <w:szCs w:val="24"/>
                <w:lang w:val="en-US" w:eastAsia="zh-CN" w:bidi="ar-SA"/>
              </w:rPr>
              <w:t>通海县杞麓湖管理局</w:t>
            </w:r>
          </w:p>
        </w:tc>
      </w:tr>
    </w:tbl>
    <w:p w14:paraId="2C29E841"/>
    <w:p w14:paraId="74C8506A"/>
    <w:sectPr>
      <w:headerReference r:id="rId3" w:type="default"/>
      <w:footerReference r:id="rId4" w:type="default"/>
      <w:footerReference r:id="rId5" w:type="even"/>
      <w:pgSz w:w="11907" w:h="16840"/>
      <w:pgMar w:top="2098" w:right="1531" w:bottom="1985" w:left="1531" w:header="851" w:footer="1588" w:gutter="0"/>
      <w:cols w:space="720" w:num="1"/>
      <w:docGrid w:type="linesAndChars" w:linePitch="560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0E58C">
    <w:pPr>
      <w:pStyle w:val="2"/>
      <w:framePr w:wrap="around" w:vAnchor="text" w:hAnchor="margin" w:xAlign="outside" w:y="1"/>
      <w:wordWrap w:val="0"/>
      <w:jc w:val="right"/>
      <w:rPr>
        <w:rStyle w:val="6"/>
        <w:sz w:val="28"/>
        <w:szCs w:val="28"/>
      </w:rPr>
    </w:pPr>
    <w:r>
      <w:rPr>
        <w:rStyle w:val="6"/>
        <w:rFonts w:hint="eastAsia"/>
        <w:sz w:val="28"/>
        <w:szCs w:val="28"/>
      </w:rPr>
      <w:t xml:space="preserve">　—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1</w:t>
    </w:r>
    <w:r>
      <w:rPr>
        <w:rStyle w:val="6"/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 xml:space="preserve"> —　</w:t>
    </w:r>
  </w:p>
  <w:p w14:paraId="34948F25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12C4D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fldChar w:fldCharType="end"/>
    </w:r>
  </w:p>
  <w:p w14:paraId="35F8F829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203F7"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479E8"/>
    <w:rsid w:val="7384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云南省科学技术厅</Company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2025-03-17T01:58:00Z</dcterms:created>
  <dc:creator>刘薇</dc:creator>
  <cp:lastModifiedBy>刘薇</cp:lastModifiedBy>
  <dcterms:modified xsi:type="dcterms:W3CDTF">2025-03-17T01:58:55Z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E4902312B949430AA3A51739F7CE69F0_11</vt:lpwstr>
  </property>
  <property fmtid="{D5CDD505-2E9C-101B-9397-08002B2CF9AE}" pid="4" name="KSOTemplateDocerSaveRecord">
    <vt:lpwstr>eyJoZGlkIjoiMTk4NTcxMzRkYzdlNTMxZjZjMTg0MDc0ZmQxYWUzYzgiLCJ1c2VySWQiOiIxNjgyNTQ2NDk4In0=</vt:lpwstr>
  </property>
</Properties>
</file>